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DE" w:rsidRDefault="007348DE" w:rsidP="007348DE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7348DE" w:rsidRDefault="007348DE" w:rsidP="007348DE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 w:rsidP="007348DE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Интерпретация художественного текста (модуль «Теория первого иностранного языка»)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6-05-0231-01 Современные иностранные языки (английский, немецкий)</w:t>
            </w:r>
          </w:p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 w:rsidP="005E41F2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 семестр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13</w:t>
            </w:r>
            <w:r w:rsidR="005E41F2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 академических часов, из них 64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 аудиторных часа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5E41F2" w:rsidP="00F86837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 зачётны</w:t>
            </w:r>
            <w:r w:rsidR="00F86837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единицы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5E41F2" w:rsidRDefault="005E4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1F2"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F2" w:rsidRPr="00F86837" w:rsidRDefault="005E41F2" w:rsidP="00F86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sz w:val="28"/>
                <w:szCs w:val="28"/>
              </w:rPr>
              <w:t>Тема 1. Понятие о тексте и интерпретации текста</w:t>
            </w:r>
          </w:p>
          <w:p w:rsidR="005E41F2" w:rsidRPr="00F86837" w:rsidRDefault="005E41F2" w:rsidP="00F86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sz w:val="28"/>
                <w:szCs w:val="28"/>
              </w:rPr>
              <w:t>Тема 2. Составляющие художественного текста</w:t>
            </w:r>
          </w:p>
          <w:p w:rsidR="005E41F2" w:rsidRPr="00F86837" w:rsidRDefault="005E41F2" w:rsidP="00F86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sz w:val="28"/>
                <w:szCs w:val="28"/>
              </w:rPr>
              <w:t xml:space="preserve">Тема 3. Интерпретация художественного текста адресатом-читателем. </w:t>
            </w:r>
          </w:p>
          <w:p w:rsidR="005E41F2" w:rsidRPr="00F86837" w:rsidRDefault="005E41F2" w:rsidP="00F86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sz w:val="28"/>
                <w:szCs w:val="28"/>
              </w:rPr>
              <w:t xml:space="preserve">Тема 4. Уровень персонажа. </w:t>
            </w:r>
          </w:p>
          <w:p w:rsidR="007348DE" w:rsidRPr="005E41F2" w:rsidRDefault="005E41F2" w:rsidP="00F86837">
            <w:pPr>
              <w:jc w:val="both"/>
              <w:rPr>
                <w:szCs w:val="28"/>
              </w:rPr>
            </w:pPr>
            <w:r w:rsidRPr="00F86837">
              <w:rPr>
                <w:rFonts w:ascii="Times New Roman" w:hAnsi="Times New Roman" w:cs="Times New Roman"/>
                <w:sz w:val="28"/>
                <w:szCs w:val="28"/>
              </w:rPr>
              <w:t>Тема 5. Стилистический эффект</w:t>
            </w:r>
            <w:r w:rsidR="00F868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2" w:rsidRPr="005E41F2" w:rsidRDefault="005E41F2" w:rsidP="005E41F2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</w:t>
            </w:r>
            <w:r w:rsidRPr="005E41F2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:rsidR="005E41F2" w:rsidRPr="005E41F2" w:rsidRDefault="00F86837" w:rsidP="005E41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E41F2" w:rsidRPr="005E4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периоды и направления развития национальных литератур в контексте мирового литературного процесса;</w:t>
            </w:r>
          </w:p>
          <w:p w:rsidR="005E41F2" w:rsidRPr="005E41F2" w:rsidRDefault="00F86837" w:rsidP="005E41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E41F2" w:rsidRPr="005E4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наиболее выдающихся представителей каждого из периодов, специфику их творчества, особенности их самых значительных произведений.</w:t>
            </w:r>
          </w:p>
          <w:p w:rsidR="005E41F2" w:rsidRPr="005E41F2" w:rsidRDefault="005E41F2" w:rsidP="005E41F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уметь</w:t>
            </w:r>
            <w:r w:rsidRPr="005E41F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</w:p>
          <w:p w:rsidR="005E41F2" w:rsidRPr="005E41F2" w:rsidRDefault="00F86837" w:rsidP="005E41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E41F2" w:rsidRPr="005E41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использовать полученные знания и умения</w:t>
            </w:r>
            <w:r w:rsidR="005E41F2" w:rsidRPr="005E4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процессе преподавания зарубежной литературы, интерпретации художественного текста и смежных дисциплин в вузах, колледжах, школах;</w:t>
            </w:r>
          </w:p>
          <w:p w:rsidR="007348DE" w:rsidRDefault="00F86837" w:rsidP="005E41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5E41F2" w:rsidRPr="005E41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использовать полученные знания и умения</w:t>
            </w:r>
            <w:r w:rsidR="005E41F2" w:rsidRPr="005E4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обучении иностранному языку.</w:t>
            </w:r>
          </w:p>
          <w:p w:rsidR="00DD72B6" w:rsidRPr="00F86837" w:rsidRDefault="00DD72B6" w:rsidP="00DD72B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68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иметь навык:</w:t>
            </w:r>
          </w:p>
          <w:p w:rsidR="00DD72B6" w:rsidRPr="00DD72B6" w:rsidRDefault="00F86837" w:rsidP="00DD72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DD72B6" w:rsidRPr="00DD72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 художественного произведения, его интерпретацией с точки зрения различных литературных методов, применяемых в литературоведении;</w:t>
            </w:r>
          </w:p>
          <w:p w:rsidR="00DD72B6" w:rsidRPr="005E41F2" w:rsidRDefault="00F86837" w:rsidP="00DD72B6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– </w:t>
            </w:r>
            <w:r w:rsidR="00DD72B6" w:rsidRPr="00DD72B6">
              <w:rPr>
                <w:color w:val="000000"/>
                <w:sz w:val="28"/>
                <w:szCs w:val="28"/>
              </w:rPr>
              <w:t>сравнительного анализа литературных явлений в синхронии и диахронии с целью выявления общих и специфических явлений в мировом литературном процессе.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2" w:rsidRDefault="005E41F2" w:rsidP="005E41F2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−</w:t>
            </w:r>
            <w:r w:rsidR="00F8683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Осуществлять анализ и интерпретацию художественных произведений на иностранном языке для решения  профессиональных задач.</w:t>
            </w:r>
          </w:p>
          <w:p w:rsidR="005E41F2" w:rsidRDefault="005E41F2" w:rsidP="005E41F2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−</w:t>
            </w:r>
            <w:r w:rsidR="00F8683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Использовать знания о жанровых разновидностях зарубежного романа для решения задач в профессиональной деятельности.</w:t>
            </w:r>
          </w:p>
          <w:p w:rsidR="005E41F2" w:rsidRDefault="005E41F2" w:rsidP="005E41F2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−</w:t>
            </w:r>
            <w:r w:rsidR="00F8683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Оценивать социальную, эстетическую и  идейную ценность художественных произведений на иностранном языке.</w:t>
            </w:r>
          </w:p>
          <w:p w:rsidR="007348DE" w:rsidRDefault="005E41F2" w:rsidP="005E41F2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−Владеть основами исследовательской деятельности, осуществлять поиск, анализ и синтез их информации. </w:t>
            </w:r>
          </w:p>
        </w:tc>
      </w:tr>
      <w:tr w:rsidR="007348DE" w:rsidTr="007348D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Default="007348DE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DE" w:rsidRPr="005E41F2" w:rsidRDefault="005E41F2" w:rsidP="00F86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1F2">
              <w:rPr>
                <w:rFonts w:ascii="Times New Roman" w:hAnsi="Times New Roman" w:cs="Times New Roman"/>
                <w:sz w:val="28"/>
                <w:szCs w:val="28"/>
              </w:rPr>
              <w:t xml:space="preserve">В 6 семестре </w:t>
            </w:r>
            <w:r w:rsidR="00F868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bookmarkStart w:id="0" w:name="_GoBack"/>
            <w:bookmarkEnd w:id="0"/>
            <w:r w:rsidRPr="005E41F2">
              <w:rPr>
                <w:rFonts w:ascii="Times New Roman" w:hAnsi="Times New Roman" w:cs="Times New Roman"/>
                <w:sz w:val="28"/>
                <w:szCs w:val="28"/>
              </w:rPr>
              <w:t xml:space="preserve"> зачет</w:t>
            </w:r>
          </w:p>
        </w:tc>
      </w:tr>
    </w:tbl>
    <w:p w:rsidR="007348DE" w:rsidRDefault="007348DE" w:rsidP="007348DE"/>
    <w:p w:rsidR="00BD4DFD" w:rsidRDefault="00BD4DFD"/>
    <w:sectPr w:rsidR="00BD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DE"/>
    <w:rsid w:val="005E41F2"/>
    <w:rsid w:val="007348DE"/>
    <w:rsid w:val="00BD4DFD"/>
    <w:rsid w:val="00DD72B6"/>
    <w:rsid w:val="00F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7348DE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3"/>
    <w:rsid w:val="007348DE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4">
    <w:name w:val="Table Grid"/>
    <w:basedOn w:val="a1"/>
    <w:uiPriority w:val="59"/>
    <w:rsid w:val="0073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E41F2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5E41F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7348DE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3"/>
    <w:rsid w:val="007348DE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4">
    <w:name w:val="Table Grid"/>
    <w:basedOn w:val="a1"/>
    <w:uiPriority w:val="59"/>
    <w:rsid w:val="00734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E41F2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5E41F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4</cp:revision>
  <dcterms:created xsi:type="dcterms:W3CDTF">2025-09-30T11:41:00Z</dcterms:created>
  <dcterms:modified xsi:type="dcterms:W3CDTF">2025-10-10T10:44:00Z</dcterms:modified>
</cp:coreProperties>
</file>